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Chloe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English Teacher | Online Tutor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Profile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Passionate and dedicated English teacher with a TEFL certificate, specializing in online education. Experienced in creating engaging digital learning materials, including interactive flashcards and realia. Committed to fostering an interactive and immersive learning environment to help students improve their English proficiency. Currently developing an online English teaching business with future plans to establish a university for English education in South Africa.</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Contact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 +27740210206</w:t>
      </w:r>
    </w:p>
    <w:p w:rsidR="00000000" w:rsidDel="00000000" w:rsidP="00000000" w:rsidRDefault="00000000" w:rsidRPr="00000000" w14:paraId="0000000F">
      <w:pPr>
        <w:rPr/>
      </w:pPr>
      <w:r w:rsidDel="00000000" w:rsidR="00000000" w:rsidRPr="00000000">
        <w:rPr>
          <w:rtl w:val="0"/>
        </w:rPr>
        <w:t xml:space="preserve">✉️ </w:t>
      </w:r>
      <w:hyperlink r:id="rId6">
        <w:r w:rsidDel="00000000" w:rsidR="00000000" w:rsidRPr="00000000">
          <w:rPr>
            <w:color w:val="1155cc"/>
            <w:u w:val="single"/>
            <w:rtl w:val="0"/>
          </w:rPr>
          <w:t xml:space="preserve">chloejacobs347@gmail.com</w:t>
        </w:r>
      </w:hyperlink>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🌐https://www.linkedin.com/in/chloe-jacobs-801983292</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Experience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Online English Teacher</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Freelance  2024 – Present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Teach English to students of various proficiency levels using digital tools and realia.</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Design and implement engaging lesson plans tailored to students' learning needs.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Provide constructive feedback to help learners improve their grammar, pronunciation, and fluency.</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English Tutor (Preply, Twenix, Tutlo)</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2024 – Present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Conduct one-on-one and group lessons via online teaching platforms.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Utilize digital flashcards and interactive resources to enhance learning.</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Adapt lessons to suit different learning styles and cultural backgrounds.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Skills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Online English Teaching</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Lesson Planning &amp; Curriculum Development</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Digital Flashcards &amp; Realia Integration</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Interactive and Engaging Learning Strategies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Student-Centered Teaching Approach</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Strong Communication &amp; Interpersonal Skills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Business &amp; Entrepreneurship in Education</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Education &amp; Certifications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TEFL Certification</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Alison 2024</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Additional Information</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Languages: Fluent in English</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Technology: Proficient in using OpenShot, Preply, and online teaching platforms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Future Goals: Expanding online teaching business and establishing an English teaching university in South Africa</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Z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hloejacobs3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